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РЕЗОЛЮТИВНАЯ ЧАСТЬ ЗАОЧНОГО РЕШЕНИЯ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13 мая 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6 Ханты-Мансийского судебного района,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1134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-2806/2026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Иванову </w:t>
      </w:r>
      <w:r>
        <w:rPr>
          <w:rStyle w:val="cat-UserDefinedgrp-1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Югорского фонда капитального ремонта многоквартирных домов к Иванову </w:t>
      </w:r>
      <w:r>
        <w:rPr>
          <w:rStyle w:val="cat-UserDefinedgrp-1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Иванова </w:t>
      </w:r>
      <w:r>
        <w:rPr>
          <w:rStyle w:val="cat-UserDefinedgrp-1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Югорского фонда капитального ремонта многоквартирных домов (ИНН </w:t>
      </w:r>
      <w:r>
        <w:rPr>
          <w:rFonts w:ascii="Times New Roman" w:eastAsia="Times New Roman" w:hAnsi="Times New Roman" w:cs="Times New Roman"/>
          <w:sz w:val="26"/>
          <w:szCs w:val="26"/>
        </w:rPr>
        <w:t>8601999247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Sumgrp-11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счет основной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Style w:val="cat-UserDefinedgrp-1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2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Style w:val="cat-UserDefinedgrp-1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3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возмещение расходов по уплате государственной пошлины.</w:t>
      </w:r>
    </w:p>
    <w:p>
      <w:pPr>
        <w:spacing w:before="0" w:after="0"/>
        <w:ind w:firstLine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апелляционном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 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120"/>
        <w:ind w:left="283" w:hanging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Style w:val="cat-FIOgrp-10rplc-2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Style w:val="cat-FIOgrp-10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UserDefinedgrp-17rplc-6">
    <w:name w:val="cat-UserDefined grp-17 rplc-6"/>
    <w:basedOn w:val="DefaultParagraphFont"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ExternalSystemDefinedgrp-16rplc-13">
    <w:name w:val="cat-ExternalSystemDefined grp-16 rplc-13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UserDefinedgrp-19rplc-21">
    <w:name w:val="cat-UserDefined grp-19 rplc-21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FIOgrp-10rplc-25">
    <w:name w:val="cat-FIO grp-10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